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tLeast"/>
        <w:jc w:val="center"/>
        <w:rPr>
          <w:rFonts w:hint="default" w:ascii="Times New Roman" w:hAnsi="Times New Roman" w:eastAsia="华文中宋" w:cs="Times New Roman"/>
          <w:b/>
          <w:color w:val="FF0000"/>
          <w:sz w:val="72"/>
          <w:szCs w:val="72"/>
        </w:rPr>
      </w:pPr>
    </w:p>
    <w:p>
      <w:pPr>
        <w:jc w:val="center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院通〔202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default" w:ascii="Times New Roman" w:hAnsi="Times New Roman" w:eastAsia="仿宋_GB2312" w:cs="Times New Roman"/>
          <w:bCs/>
          <w:kern w:val="2"/>
          <w:sz w:val="24"/>
          <w:szCs w:val="24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关于开设湖南师范大学202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年微型课程</w:t>
      </w:r>
    </w:p>
    <w:p>
      <w:pPr>
        <w:widowControl/>
        <w:spacing w:after="100" w:afterAutospacing="1"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《东亚近代文化与东亚论》的通知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各相关学院：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为深化研究生课程建设改革，拓宽研究生知识面，优化研究生知识结构，提高研究生培养质量，经学院申请、研究生院审核，拟开设微型课程《东亚近代文化与东亚论》,现将相关工作通知如下：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课程介绍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本课程的开设，让相关学科研究生了解当下学术前沿，熟悉东亚文化领域学术研究动态，了解东亚文化的核心概念与基本构架，深入认知东亚学建构的基本理论问题与论域，进而培养研究生学术研究的问题意识与方法论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二、开课时间及开课地点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开课时间：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2023年11月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8日至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12月8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开课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地点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中和楼611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三、授课对象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亚非语言文学、朝鲜语翻译硕士、区域国别学研究生为主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四、课程考核与学分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课程考核按普通课程要求进行，考核合格，可计1学分，可兑换培养计划内任意选修课学分。每位学生计入培养计划的微型课程总学分数原则上不超过2学分。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五、报名要求及流程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楷体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报名要求及起止时间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微型课程网上报名学生需满足以下要求：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本校研究生；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学生本学期已完成学期注册并通过院系审核；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学生必须已提交培养计划并通过导师审核；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报名起止时间为202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eastAsia" w:eastAsia="楷体" w:cs="Times New Roman"/>
          <w:sz w:val="32"/>
          <w:szCs w:val="32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</w:rPr>
        <w:t>操作流程详见附件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六、其它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“研究生微型课程”是我校研究生课程教学改革的重要举措，开课学院应高度重视该项工作，将课程开课情况及时通知研究生，并积极组织研究生选修微型课程。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开课学院应指派专人负责微型课程的管理，做好接受报名、课程安排、教学管理和成绩录入等工作。微型课程结束后需提交课程总结一份，具体内容参考附件5。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研究生选修微型课程后，应服从开设课程学院管理人员和任课教师的管理，全程认真参与课程授课，自觉遵守教学纪律和考核纪律。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附件：1.主讲教师简介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2.课程实施方案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3.课程教学大纲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4.网上选课操作流程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5.课程总结材料清单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研究生院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主讲教师简介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白永瑞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韩国首尔国立大学东洋史学系文学博士，现为延世大学文学院历史系荣誉教授。曾任延世大学国学研究院院长、文学院院长，担任韩国重要人文刊物《创作与批评》主编达十年之久，曾在美国哈佛大学、日本多所大学、台湾“中研院”担任高级访问学者和客座教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主要从事领域：中国现代史以及东亚历史与思想。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出版学术著作多种，其中：日文2本、中文3本、韩文12种。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在韩国、日本和中国相关研究领域权威专家。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主要包括：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《横观东亚：在核心现场重思东亚历史》（台湾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"tel:2016" \t "_blank"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『共生への道と核心現場: 實踐課題としての東アジア』(東京,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"tel:2016" \t "_blank"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)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 社会人文学之路：作为制度的学术，作为运动的学术》（首尔，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"tel:2014" \t "_blank"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《在核心现场重思东亚：共生社会之实践课题》（首尔，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"tel:2013" \t "_blank"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《思想东亚：韩半岛视觉的历史与实践》（台北，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"tel:2009" \t "_blank"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；北京，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"tel:2011" \t "_blank"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），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《ポスト〈东アジア〉》（共编）（东京，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"tel:2006" \t "_blank"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《回归东亚：探索中国的近代性》（首尔，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"tel:2000" \t "_blank"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 等 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《东亚谈论的谱系和未来》 首爾：创批，2022年(韩文)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专著：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1.《中国社会性格论争》(共编)，首尔：创作与批评社，1989(韩文)。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2.《中国现代大学文化硏究：认同危机与社会变革》，首尔：一潮阁，1994年(韩文)。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3.《东亚：问题与视角》(共编)，首尔：文学与知性社，1995(韩文)。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4.《东亚人的「东洋」认识：19-20世纪》(共编)，首尔：文学与知性社，1997(韩文)。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5.《作为发现的东亚》(共编)，首尔：文学与知性社，2000年(韩文)。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6.《回归东亚：探索中国的近代性》，首尔：创作与批评社，2000年(韩文)。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7.《从周边看东亚》(二人共编)，首尔：文学与知性社，2004年(韩文)。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8.《东亚的地域秩序：从帝国到共同体》(九人共着)，首尔：创批，2005年(韩文)。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9.《ポスト東アジア》(孫歌•白永瑞•陳光興共編)，東京：作品社， 2006年(日文)。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10.《东亚进入现代三条路线》(三人共着)，首尔：创批，2009(韩文)。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11.《思想东亚：韩半岛视角的历史与实践》，台北：台湾社会研究杂志社，2009年(中文)。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12.《思想东亚：朝鲜半岛视角的历史与实践》，北京：三联书店，2011年(中文)。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13.《见识台湾：韩国与台湾共寻新径》(二人共编)，首爾：创批，2012年(韩文)。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14.《在核心现场重思东亚：共生社会之实践课题》，首爾：创批，2013年(韩文)。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15.《社会人文学之路：作为制度的学术，作为运动的学术》，首爾：创批，2014年(韩文)。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16.《横观东亚：从核心现场重思东亚歷史》，台北：联经出版社，2016年(中文)。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17.《共生への道と核心现场：实践课题としての东アジア》，东京：法政大学出版部，2016年(日文)。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18. 《东亚谈论的谱系和未来》 首爾：创批，2022年(韩文)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译著：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1.朝日新闻采访组着，白永瑞．金杭译，《创造东亚的十个事件》，首尔：创批，2008( 原书《歷史は生きている》，朝日出版社，2007。)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2.新崎盛辉着，白永瑞．李Hangyeol译，《冲绳：结构性岐视与抵抗的现场》，首尔：创批，2013( 原书新崎盛晖，《新崎盛晖が说く构造的冲绳差别》，高文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，2013。)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8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课程实施方案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宋体" w:hAnsi="宋体" w:eastAsia="宋体" w:cs="宋体"/>
          <w:b/>
          <w:color w:val="000000"/>
          <w:position w:val="6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position w:val="6"/>
          <w:sz w:val="28"/>
          <w:szCs w:val="28"/>
        </w:rPr>
        <w:t>课程目的：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宋体" w:hAnsi="宋体" w:eastAsia="宋体" w:cs="宋体"/>
          <w:b/>
          <w:color w:val="000000"/>
          <w:position w:val="6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position w:val="6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color w:val="000000"/>
          <w:position w:val="6"/>
          <w:sz w:val="28"/>
          <w:szCs w:val="28"/>
        </w:rPr>
        <w:t>通过本课程的开设，让相关学科研究生了解当下学术前沿，熟悉东亚文化领域学术研究动态，了解东亚文化的核心概念与基本构架，深入认知东亚学建构的基本理论问题与论域，进而培养研究生学术研究的问题意识与方法论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宋体" w:hAnsi="宋体" w:eastAsia="宋体" w:cs="宋体"/>
          <w:b/>
          <w:color w:val="000000"/>
          <w:position w:val="6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position w:val="6"/>
          <w:sz w:val="28"/>
          <w:szCs w:val="28"/>
        </w:rPr>
        <w:t>课程内容：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position w:val="6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position w:val="6"/>
          <w:sz w:val="28"/>
          <w:szCs w:val="28"/>
        </w:rPr>
        <w:t>本课程的中心内容是从全球本土史（glocal history）的视角重新审视东亚历史和文化。为了让学生了解韩国和洞察东亚连动的历史、文化和未来史，将介绍以下事例：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position w:val="6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position w:val="6"/>
          <w:sz w:val="28"/>
          <w:szCs w:val="28"/>
        </w:rPr>
        <w:t>1）通过两个转折期去理解东亚国际秩序在历史上表现出的连动结构，进而说明朝鲜半岛的位置、作用在全球本土史上具有哪些重要性。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position w:val="6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position w:val="6"/>
          <w:sz w:val="28"/>
          <w:szCs w:val="28"/>
        </w:rPr>
        <w:t>2）通过“青年”和“饮食”去理解跨境的东亚文化，确认杂交（hybrid）文化的重叠性以及韩国文化的动态性。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position w:val="6"/>
          <w:sz w:val="28"/>
          <w:szCs w:val="28"/>
        </w:rPr>
        <w:t>3）超越纷争、矛盾和偏见，构想和平和连带的东亚未来，思考东亚各国的角色以及每个听课学生所能起到的作用。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教学内容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第一讲 连动的东亚与全球本土的（glocal）视角/感受能力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1）在日常生活中体现出全球本土经验的词汇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2）为什么需要全球本土视角：探讨研究东亚/东部亚洲史的可能性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3）整个课程概述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第二讲：连动的东亚国际秩序的历史、结构和行为主体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（一）：壬辰战争与丙子战争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1）东亚秩序是怎样的结构？中心—小中心—边缘的重叠秩序；“变”与“常”的辩证关系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2）东亚的壬辰倭乱和丙子战争：原因和影响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3）造成丙子战争的人们和丙子战争所造就的人们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第三讲：连动的东亚国际秩序的历史、结构和行为主体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（二）：甲午（清日）战争、日俄战争和日本强制合并朝鲜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1）东学农民革命与甲午（清日）战争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2）日俄战争与朝鲜沦为殖民地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3）东亚三国现代化的分岐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第四讲：跨境文化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（一）：从青年的视角看东亚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1）20世纪初朝鲜青年的“诞生”与社会角色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2）20世纪初中国青年和日本青年的“诞生”与社会角色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3）21世纪初青年文化的万花筒：“小确幸”是另类的生活吗？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第五讲：跨境文化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（二）：从食物的视角看东亚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1）炸酱面的世界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2）海鲜面和西餐的世界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3）拉面的世界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4）韩流文化（K-文化）和杂交的“亚流”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第六讲：连动的东亚未来史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1）中韩相互认识的现状和展望：中韩相互嫌恶的情绪和娱乐（游戏）型民族主义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2）韩日相互认识的现状和展望：韩日相互嫌恶的情绪和“旧金山体制”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3）我的韩国史/东亚史/世界史，未来计划：“做历史”（doing history）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参考书目：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白永瑞，《思想东亚：朝鲜半岛视角的历史与实践》，北京：三联书店，2011年。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白永瑞，《横观东亚：从核心现场重思东亚历史》，台北：联经出版社，2016年。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宋念申，《发现东亚：朝鲜半岛视角的历史与实践》，北京：新星出版社，2018年。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葛兆光，《亚洲史的研究方法》，北京：商务印书馆，2022年。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*后续会给学生提供各个主题的详细参考书目。</w:t>
      </w:r>
    </w:p>
    <w:p>
      <w:pPr>
        <w:spacing w:line="360" w:lineRule="exact"/>
        <w:rPr>
          <w:rFonts w:hint="eastAsia" w:ascii="宋体" w:hAnsi="宋体" w:eastAsia="宋体" w:cs="宋体"/>
          <w:b/>
          <w:color w:val="000000"/>
          <w:position w:val="6"/>
          <w:sz w:val="24"/>
        </w:rPr>
      </w:pPr>
    </w:p>
    <w:p>
      <w:pPr>
        <w:spacing w:line="360" w:lineRule="exact"/>
        <w:rPr>
          <w:rFonts w:hint="eastAsia" w:ascii="宋体" w:hAnsi="宋体" w:eastAsia="宋体" w:cs="宋体"/>
          <w:b/>
          <w:color w:val="000000"/>
          <w:position w:val="6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position w:val="6"/>
          <w:sz w:val="28"/>
          <w:szCs w:val="28"/>
        </w:rPr>
        <w:t>教学计划：</w:t>
      </w:r>
      <w:r>
        <w:rPr>
          <w:rFonts w:hint="eastAsia" w:ascii="宋体" w:hAnsi="宋体" w:eastAsia="宋体" w:cs="宋体"/>
          <w:color w:val="000000"/>
          <w:position w:val="6"/>
          <w:sz w:val="28"/>
          <w:szCs w:val="28"/>
        </w:rPr>
        <w:t xml:space="preserve"> </w:t>
      </w:r>
    </w:p>
    <w:p>
      <w:pPr>
        <w:spacing w:line="360" w:lineRule="exact"/>
        <w:rPr>
          <w:rFonts w:hint="eastAsia" w:ascii="宋体" w:hAnsi="宋体" w:eastAsia="宋体" w:cs="宋体"/>
          <w:b/>
          <w:color w:val="000000"/>
          <w:position w:val="6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260"/>
        <w:gridCol w:w="1134"/>
        <w:gridCol w:w="709"/>
        <w:gridCol w:w="1134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  <w:t>序号</w:t>
            </w:r>
          </w:p>
        </w:tc>
        <w:tc>
          <w:tcPr>
            <w:tcW w:w="326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  <w:t>课程内容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  <w:t>课堂讲课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  <w:t>实践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  <w:t>课堂讨论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  <w:t>课外自学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</w:p>
        </w:tc>
        <w:tc>
          <w:tcPr>
            <w:tcW w:w="32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  <w:t>学时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  <w:t>学时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  <w:t>学时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  <w:t>1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  <w:t>第一讲 连动的东亚与全球本土的（glocal）视角/感受能力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  <w:t>2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  <w:t>第二讲：连动的东亚国际秩序的历史、结构和行为主体（一）：壬辰、丙子战争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  <w:t>3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  <w:t>第三讲：连动的东亚国际秩序的历史、结构和行为主体（二）：甲午（清日）战争、日俄战争和日本强制合并韩国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  <w:t>4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  <w:t>第四讲：跨境文化（一）：从青年的视角看东亚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  <w:t>5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  <w:t>第五讲：跨境文化（二）：从食物的视角看东亚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  <w:t>6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  <w:t>第六讲：连动的东亚未来史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</w:rPr>
            </w:pPr>
          </w:p>
        </w:tc>
      </w:tr>
    </w:tbl>
    <w:p>
      <w:pPr>
        <w:spacing w:line="360" w:lineRule="exact"/>
        <w:rPr>
          <w:rFonts w:hint="eastAsia" w:ascii="宋体" w:hAnsi="宋体" w:eastAsia="宋体" w:cs="宋体"/>
          <w:b/>
          <w:color w:val="000000"/>
          <w:position w:val="6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课程考核：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平时成绩主要包括答问、课堂表现等，占比40%；期末考核以课程论文形式，占比60%。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学员选拔方法：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以外国语学院相关专业研究生为学员主体。其他专业研究生可自愿参加。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360" w:lineRule="exact"/>
        <w:jc w:val="center"/>
        <w:rPr>
          <w:rFonts w:ascii="宋体" w:hAnsi="宋体" w:cs="宋体"/>
          <w:color w:val="333333"/>
          <w:kern w:val="0"/>
          <w:szCs w:val="21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课程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教学大纲</w:t>
      </w:r>
    </w:p>
    <w:p>
      <w:pPr>
        <w:widowControl/>
        <w:adjustRightInd w:val="0"/>
        <w:snapToGrid w:val="0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napToGrid w:val="0"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  <w:t xml:space="preserve"> 《东亚近代文化与东亚论》课程教学大纲</w:t>
      </w:r>
    </w:p>
    <w:p>
      <w:pPr>
        <w:widowControl/>
        <w:adjustRightInd w:val="0"/>
        <w:snapToGrid w:val="0"/>
        <w:ind w:firstLine="417" w:firstLineChars="198"/>
        <w:jc w:val="left"/>
        <w:rPr>
          <w:rFonts w:hint="default" w:ascii="Times New Roman" w:hAnsi="Times New Roman" w:cs="Times New Roman"/>
          <w:b/>
          <w:bCs/>
          <w:color w:val="000000"/>
          <w:kern w:val="0"/>
          <w:szCs w:val="21"/>
        </w:rPr>
      </w:pPr>
    </w:p>
    <w:p>
      <w:pPr>
        <w:widowControl/>
        <w:spacing w:line="360" w:lineRule="atLeast"/>
        <w:jc w:val="center"/>
        <w:rPr>
          <w:rFonts w:hint="default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第一部分</w:t>
      </w:r>
      <w:r>
        <w:rPr>
          <w:rFonts w:hint="default" w:ascii="宋体" w:hAnsi="宋体" w:cs="宋体"/>
          <w:b/>
          <w:bCs/>
          <w:color w:val="000000"/>
          <w:kern w:val="0"/>
          <w:sz w:val="28"/>
          <w:szCs w:val="28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大纲说明</w:t>
      </w:r>
    </w:p>
    <w:p>
      <w:pPr>
        <w:widowControl/>
        <w:adjustRightInd w:val="0"/>
        <w:snapToGrid w:val="0"/>
        <w:ind w:firstLine="477" w:firstLineChars="198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1．课程代码：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W00000035</w:t>
      </w:r>
    </w:p>
    <w:p>
      <w:pPr>
        <w:widowControl/>
        <w:adjustRightInd w:val="0"/>
        <w:snapToGrid w:val="0"/>
        <w:ind w:firstLine="477" w:firstLineChars="198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2．课程类型：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任意选修课</w:t>
      </w:r>
    </w:p>
    <w:p>
      <w:pPr>
        <w:widowControl/>
        <w:adjustRightInd w:val="0"/>
        <w:snapToGrid w:val="0"/>
        <w:ind w:firstLine="477" w:firstLineChars="198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3．开课时间：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2023-2024学年秋季学期：11月28日至12月8日</w:t>
      </w:r>
    </w:p>
    <w:p>
      <w:pPr>
        <w:widowControl/>
        <w:adjustRightInd w:val="0"/>
        <w:snapToGrid w:val="0"/>
        <w:ind w:firstLine="477" w:firstLineChars="198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4．课程目标：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本课程的中心内容是从全球本土史（glocal history）的视角重新审视东亚历史和文化。通过本课程的开设，让相关学科研究生了解当下学术前沿，熟悉东亚文化领域学术研究动态，了解东亚近代文化的核心概念与基本构架，深入认知东亚论建构的基本理论问题与论域，进而培养研究生学术研究的问题意识与方法论意识。</w:t>
      </w:r>
    </w:p>
    <w:p>
      <w:pPr>
        <w:widowControl/>
        <w:adjustRightInd w:val="0"/>
        <w:snapToGrid w:val="0"/>
        <w:ind w:firstLine="477" w:firstLineChars="198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5．面向学科：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亚非语言文学、朝鲜语翻译、区域国别研究生为主</w:t>
      </w:r>
    </w:p>
    <w:p>
      <w:pPr>
        <w:widowControl/>
        <w:adjustRightInd w:val="0"/>
        <w:snapToGrid w:val="0"/>
        <w:ind w:firstLine="477" w:firstLineChars="198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6．考核方式：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平时成绩主要包括答问、课堂表现等，占比40%；期末考核以课程论文形式，占比60%。</w:t>
      </w:r>
    </w:p>
    <w:p>
      <w:pPr>
        <w:widowControl/>
        <w:adjustRightInd w:val="0"/>
        <w:snapToGrid w:val="0"/>
        <w:ind w:firstLine="477" w:firstLineChars="198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7．预修课程：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韩国历史、日本史、中国历史与文化</w:t>
      </w:r>
    </w:p>
    <w:p>
      <w:pPr>
        <w:widowControl/>
        <w:adjustRightInd w:val="0"/>
        <w:snapToGrid w:val="0"/>
        <w:ind w:firstLine="477" w:firstLineChars="198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8. 教学方式：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课堂讲课和课堂讨论</w:t>
      </w:r>
    </w:p>
    <w:p>
      <w:pPr>
        <w:widowControl/>
        <w:adjustRightInd w:val="0"/>
        <w:snapToGrid w:val="0"/>
        <w:ind w:firstLine="477" w:firstLineChars="198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9．学时学分：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16学时，1学分</w:t>
      </w:r>
    </w:p>
    <w:p>
      <w:pPr>
        <w:widowControl/>
        <w:adjustRightInd w:val="0"/>
        <w:snapToGrid w:val="0"/>
        <w:ind w:firstLine="420" w:firstLineChars="15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</w:p>
    <w:tbl>
      <w:tblPr>
        <w:tblStyle w:val="6"/>
        <w:tblW w:w="8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260"/>
        <w:gridCol w:w="1134"/>
        <w:gridCol w:w="709"/>
        <w:gridCol w:w="1134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  <w:t>序号</w:t>
            </w:r>
          </w:p>
        </w:tc>
        <w:tc>
          <w:tcPr>
            <w:tcW w:w="326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  <w:t>课程内容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  <w:t>课堂讲课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  <w:t>实践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  <w:t>课堂讨论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  <w:t>课外自学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32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  <w:t>学时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  <w:t>学时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  <w:t>学时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  <w:szCs w:val="20"/>
              </w:rPr>
              <w:t>第一讲：连动的东亚与全球本土的（glocal）视角/感受能力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  <w:szCs w:val="20"/>
              </w:rPr>
              <w:t>第二讲：连动的东亚国际秩序的历史、结构和行为主体（一）：壬辰倭乱与丙子胡乱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  <w:szCs w:val="20"/>
              </w:rPr>
              <w:t>第三讲：连动的东亚国际秩序的历史、结构和行为主体（二）：甲午（清日）战争、日俄战争和日本强制合并韩国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  <w:szCs w:val="20"/>
              </w:rPr>
              <w:t>第四讲：跨境文化（一）：从青年的视角看东亚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  <w:szCs w:val="20"/>
              </w:rPr>
              <w:t>第五讲：跨境文化（二）：从食物的视角看东亚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 w:val="20"/>
                <w:szCs w:val="20"/>
              </w:rPr>
              <w:t>第六讲：连动的东亚未来史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position w:val="6"/>
                <w:szCs w:val="21"/>
              </w:rPr>
            </w:pPr>
          </w:p>
        </w:tc>
      </w:tr>
    </w:tbl>
    <w:p>
      <w:pPr>
        <w:widowControl/>
        <w:adjustRightInd w:val="0"/>
        <w:snapToGrid w:val="0"/>
        <w:ind w:firstLine="422" w:firstLineChars="15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10.教材及教学参考资料：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400" w:lineRule="exact"/>
        <w:ind w:firstLine="480" w:firstLineChars="200"/>
        <w:jc w:val="left"/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教材： 《思想东亚》白永瑞 北京三联书店 2011年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400" w:lineRule="exact"/>
        <w:ind w:firstLine="480" w:firstLineChars="200"/>
        <w:jc w:val="left"/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参考书目：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400" w:lineRule="exact"/>
        <w:ind w:firstLine="480" w:firstLineChars="200"/>
        <w:jc w:val="left"/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白永瑞，《思想东亚：朝鲜半岛视角的历史与实践》，北京：三联书店，2011年。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400" w:lineRule="exact"/>
        <w:ind w:firstLine="480" w:firstLineChars="200"/>
        <w:jc w:val="left"/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白永瑞，《横观东亚：从核心现场重思东亚历史》，台北：联经出版社，2016年。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400" w:lineRule="exact"/>
        <w:ind w:firstLine="480" w:firstLineChars="200"/>
        <w:jc w:val="left"/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宋念申，《发现东亚：朝鲜半岛视角的历史与实践》，北京：新星出版社，2018年。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400" w:lineRule="exact"/>
        <w:ind w:firstLine="480" w:firstLineChars="200"/>
        <w:jc w:val="left"/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 xml:space="preserve">葛兆光，《亚洲史的研究方法》，北京：商务印书馆，2022年。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400" w:lineRule="exact"/>
        <w:ind w:firstLine="480" w:firstLineChars="200"/>
        <w:jc w:val="left"/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*后续会给学生提供各个主题的详细参考书目。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第二部分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教学内容和教学要求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1.教学内容：本课程讲授能够洞察东亚联动的历史、文化、未来史的事例。从‘连动的东亚’的视角，思考1919年中国的五四运动与韩国的三一运动，深入探讨东亚的‘另类现代性’，尤其是民主主义在东亚的历史经验。理解东亚国際历史中出现的动态结构,可以明确说明韩半岛的位置/作用的地球地区史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2.教学目的：通过本课程的开设，让相关学科研究生了解当下学术前沿，熟悉东亚文化领域学术研究动态，了解东亚文化的核心概念与基本构架，深入认知东亚学建构的基本理论问题与论域，进而培养研究生学术研究的问题意识与方法论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3.教学安排：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第一讲 连动的东亚与全球本土的（glocal）视角/感受能力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>1）在日常生活中体现出全球本土经验的词汇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>2）为什么需要全球本土视角：探讨研究东亚/东部亚洲史的可能性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>3）整个课程概述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第二讲：连动的东亚国际秩序的历史、结构和行为主体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>1）东亚秩序是怎样的结构？中心—小中心—边缘的重叠秩序；“变”与“常”的辩证关系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 xml:space="preserve">2）东亚的壬辰倭乱和丙子战争：原因和影响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>3）造成丙子战争的人们和丙子战争所造就的人们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第三讲：连动的东亚国际秩序的历史、结构和行为主体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>1）东学农民革命与甲午（清日）战争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>2）日俄战争与朝鲜沦为殖民地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 xml:space="preserve">3）东亚三国现代化的分岐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第四讲：跨境文化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 xml:space="preserve">1）20世纪初朝鲜青年的“诞生”与社会角色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 xml:space="preserve">2）20世纪初中国青年和日本青年的“诞生”与社会角色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 xml:space="preserve">3）21世纪初青年文化的万花筒：“小确幸”是另类的生活吗？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第五讲：跨境文化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>1）炸酱面的世界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>2）海鲜面和西餐的世界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>3）拉面的世界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 xml:space="preserve">4）韩流文化（K-文化）和杂交的“亚流”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 xml:space="preserve">第六讲：连动的东亚未来史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 xml:space="preserve">1）中韩相互认识的现状和展望：中韩相互嫌恶的情绪和娱乐（游戏）型民族主义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 xml:space="preserve">2）韩日相互认识的现状和展望：韩日相互嫌恶的情绪和“旧金山体制”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>3）我的韩国史/东亚史/世界史，未来计划：“做历史”（doing history）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2" w:firstLineChars="20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before="156" w:beforeLines="50" w:after="156" w:afterLines="50"/>
        <w:ind w:left="70" w:leftChars="-100" w:hanging="280" w:hangingChars="100"/>
        <w:rPr>
          <w:rFonts w:hint="eastAsia" w:ascii="仿宋" w:hAnsi="仿宋" w:eastAsia="仿宋" w:cs="宋体"/>
          <w:color w:val="000000"/>
          <w:sz w:val="28"/>
          <w:szCs w:val="28"/>
          <w:shd w:val="clear" w:color="auto" w:fill="FDFDFD"/>
        </w:rPr>
      </w:pPr>
    </w:p>
    <w:p>
      <w:pPr>
        <w:spacing w:before="156" w:beforeLines="50" w:after="156" w:afterLines="50"/>
        <w:ind w:left="70" w:leftChars="-100" w:hanging="280" w:hangingChars="100"/>
        <w:rPr>
          <w:rFonts w:hint="eastAsia" w:ascii="仿宋" w:hAnsi="仿宋" w:eastAsia="仿宋" w:cs="宋体"/>
          <w:color w:val="000000"/>
          <w:sz w:val="28"/>
          <w:szCs w:val="28"/>
          <w:shd w:val="clear" w:color="auto" w:fill="FDFDFD"/>
        </w:rPr>
      </w:pPr>
    </w:p>
    <w:p>
      <w:pPr>
        <w:widowControl/>
        <w:adjustRightInd w:val="0"/>
        <w:snapToGrid w:val="0"/>
        <w:ind w:firstLine="415" w:firstLineChars="198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spacing w:line="3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bookmarkStart w:id="0" w:name="_Hlk56603376"/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微型课程网上选课操作流程</w:t>
      </w:r>
    </w:p>
    <w:bookmarkEnd w:id="0"/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11"/>
        <w:ind w:firstLine="0" w:firstLineChars="0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华文仿宋" w:cs="Times New Roman"/>
          <w:sz w:val="30"/>
          <w:szCs w:val="30"/>
        </w:rPr>
        <w:t>一、登录学生界面。</w:t>
      </w:r>
    </w:p>
    <w:p>
      <w:pPr>
        <w:pStyle w:val="11"/>
        <w:ind w:firstLine="0" w:firstLineChars="0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24"/>
        </w:rPr>
        <w:drawing>
          <wp:inline distT="0" distB="0" distL="114300" distR="114300">
            <wp:extent cx="5238750" cy="2999740"/>
            <wp:effectExtent l="0" t="0" r="0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9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ind w:firstLine="0" w:firstLineChars="0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华文仿宋" w:cs="Times New Roman"/>
          <w:sz w:val="30"/>
          <w:szCs w:val="30"/>
        </w:rPr>
        <w:t>二、依次点击“培养管理”-&gt;“学生网上选课”。</w:t>
      </w:r>
    </w:p>
    <w:p>
      <w:pPr>
        <w:pStyle w:val="11"/>
        <w:ind w:firstLine="0" w:firstLineChars="0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24"/>
        </w:rPr>
        <w:drawing>
          <wp:inline distT="0" distB="0" distL="114300" distR="114300">
            <wp:extent cx="5257800" cy="3402965"/>
            <wp:effectExtent l="0" t="0" r="0" b="698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ind w:firstLine="0" w:firstLineChars="0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华文仿宋" w:cs="Times New Roman"/>
          <w:sz w:val="30"/>
          <w:szCs w:val="30"/>
        </w:rPr>
        <w:t>三、找到课程，点击“选课”，进行选课。</w:t>
      </w:r>
    </w:p>
    <w:p>
      <w:pPr>
        <w:pStyle w:val="11"/>
        <w:ind w:firstLine="0" w:firstLineChars="0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华文仿宋" w:cs="Times New Roman"/>
          <w:sz w:val="30"/>
          <w:szCs w:val="30"/>
        </w:rPr>
        <w:drawing>
          <wp:inline distT="0" distB="0" distL="114300" distR="114300">
            <wp:extent cx="5274310" cy="2816225"/>
            <wp:effectExtent l="0" t="0" r="2540" b="3175"/>
            <wp:docPr id="3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ind w:firstLine="0" w:firstLineChars="0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华文仿宋" w:cs="Times New Roman"/>
          <w:sz w:val="30"/>
          <w:szCs w:val="30"/>
        </w:rPr>
        <w:t>四、选课成功后，等待研究生院审核，审核通过后，学生可在“选课结果查询”中查到该门课程。</w:t>
      </w:r>
    </w:p>
    <w:p>
      <w:pPr>
        <w:pStyle w:val="11"/>
        <w:ind w:firstLine="0" w:firstLineChars="0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华文仿宋" w:cs="Times New Roman"/>
          <w:sz w:val="30"/>
          <w:szCs w:val="30"/>
        </w:rPr>
        <w:drawing>
          <wp:inline distT="0" distB="0" distL="114300" distR="114300">
            <wp:extent cx="5274945" cy="2781935"/>
            <wp:effectExtent l="0" t="0" r="1905" b="18415"/>
            <wp:docPr id="4" name="图片 6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图片2"/>
                    <pic:cNvPicPr>
                      <a:picLocks noChangeAspect="1"/>
                    </pic:cNvPicPr>
                  </pic:nvPicPr>
                  <pic:blipFill>
                    <a:blip r:embed="rId8"/>
                    <a:srcRect t="10860" r="-157" b="4630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8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ind w:firstLine="0" w:firstLineChars="0"/>
        <w:rPr>
          <w:rFonts w:hint="default" w:ascii="Times New Roman" w:hAnsi="Times New Roman" w:eastAsia="华文仿宋" w:cs="Times New Roman"/>
          <w:sz w:val="30"/>
          <w:szCs w:val="30"/>
        </w:rPr>
      </w:pPr>
    </w:p>
    <w:p>
      <w:pPr>
        <w:spacing w:line="48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48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48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</w:rPr>
      </w:pPr>
    </w:p>
    <w:p>
      <w:pPr>
        <w:spacing w:line="3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附件5</w:t>
      </w:r>
    </w:p>
    <w:p>
      <w:pPr>
        <w:jc w:val="center"/>
        <w:rPr>
          <w:rFonts w:hint="default" w:ascii="Times New Roman" w:hAnsi="Times New Roman" w:eastAsia="仿宋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40"/>
        </w:rPr>
        <w:t>微型课程总结材料清单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2308"/>
        <w:gridCol w:w="2504"/>
        <w:gridCol w:w="2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  <w:t>内容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  <w:t>电子版或纸质版</w:t>
            </w:r>
          </w:p>
        </w:tc>
        <w:tc>
          <w:tcPr>
            <w:tcW w:w="27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>开课通知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7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>课程课表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7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>选修名单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7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>课程作业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7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>课程成绩单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7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>课程小结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7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>学生心得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7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>课程照片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7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>意见建议</w:t>
            </w:r>
          </w:p>
        </w:tc>
        <w:tc>
          <w:tcPr>
            <w:tcW w:w="25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7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</w:tc>
      </w:tr>
    </w:tbl>
    <w:p>
      <w:pPr>
        <w:spacing w:line="48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/>
    <w:p>
      <w:pPr>
        <w:rPr>
          <w:rFonts w:hint="eastAsia" w:eastAsia="宋体"/>
          <w:lang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Guli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-161290</wp:posOffset>
              </wp:positionV>
              <wp:extent cx="552450" cy="292735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2.7pt;height:23.05pt;width:43.5pt;mso-position-horizontal:outside;mso-position-horizontal-relative:margin;z-index:251659264;mso-width-relative:page;mso-height-relative:page;" filled="f" stroked="f" coordsize="21600,21600" o:gfxdata="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Jf9B9YAAAAGAQAADwAAAAAAAAABACAAAAAiAAAAZHJzL2Rvd25yZXYu&#10;eG1sUEsBAhQAFAAAAAgAh07iQO5csHvEAQAAfwMAAA4AAAAAAAAAAQAgAAAAJ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Y2JmYzAzOWIxYjk4MjNhMmNjZGEzYzQ4NDA5NGEifQ=="/>
  </w:docVars>
  <w:rsids>
    <w:rsidRoot w:val="34285A4A"/>
    <w:rsid w:val="05171224"/>
    <w:rsid w:val="09A94ED9"/>
    <w:rsid w:val="118509F3"/>
    <w:rsid w:val="11B55A63"/>
    <w:rsid w:val="124C51BC"/>
    <w:rsid w:val="1FBA4F8F"/>
    <w:rsid w:val="298D7483"/>
    <w:rsid w:val="2FFF1F29"/>
    <w:rsid w:val="32D13BDA"/>
    <w:rsid w:val="34285A4A"/>
    <w:rsid w:val="37D52F49"/>
    <w:rsid w:val="396B4F3D"/>
    <w:rsid w:val="40BD5F47"/>
    <w:rsid w:val="43DA3607"/>
    <w:rsid w:val="47846887"/>
    <w:rsid w:val="5658440D"/>
    <w:rsid w:val="5BA36BAA"/>
    <w:rsid w:val="61783004"/>
    <w:rsid w:val="61ED0E47"/>
    <w:rsid w:val="7423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</w:pPr>
    <w:rPr>
      <w:rFonts w:ascii="MS PGothic" w:hAnsi="MS PGothic" w:eastAsia="MS PGothic" w:cs="MS PGothic"/>
      <w:kern w:val="0"/>
      <w:lang w:eastAsia="ja-JP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  <w:rPr>
      <w:rFonts w:ascii="Times New Roman" w:hAnsi="Times New Roman" w:eastAsia="宋体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unhideWhenUsed/>
    <w:qFormat/>
    <w:uiPriority w:val="99"/>
    <w:rPr>
      <w:color w:val="0000FF"/>
      <w:u w:val="none"/>
    </w:rPr>
  </w:style>
  <w:style w:type="paragraph" w:customStyle="1" w:styleId="10">
    <w:name w:val="각주"/>
    <w:basedOn w:val="1"/>
    <w:qFormat/>
    <w:uiPriority w:val="0"/>
    <w:pPr>
      <w:wordWrap w:val="0"/>
      <w:autoSpaceDE w:val="0"/>
      <w:autoSpaceDN w:val="0"/>
      <w:spacing w:line="312" w:lineRule="auto"/>
      <w:ind w:left="524" w:hanging="262"/>
      <w:textAlignment w:val="baseline"/>
    </w:pPr>
    <w:rPr>
      <w:rFonts w:ascii="Gulim" w:hAnsi="Gulim" w:eastAsia="Gulim" w:cs="Gulim"/>
      <w:color w:val="000000"/>
      <w:kern w:val="0"/>
      <w:sz w:val="18"/>
      <w:szCs w:val="18"/>
      <w:lang w:eastAsia="ko-KR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5005</Words>
  <Characters>5326</Characters>
  <Lines>0</Lines>
  <Paragraphs>0</Paragraphs>
  <TotalTime>42</TotalTime>
  <ScaleCrop>false</ScaleCrop>
  <LinksUpToDate>false</LinksUpToDate>
  <CharactersWithSpaces>5417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2023-11-14T08:33:00Z</dcterms:created>
  <dc:creator>LENOVO</dc:creator>
  <cp:lastModifiedBy>六木</cp:lastModifiedBy>
  <cp:lastPrinted>2023-11-24T10:24:00Z</cp:lastPrinted>
  <dcterms:modified xsi:type="dcterms:W3CDTF">2023-11-24T11:08:45Z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4FF45DBD315D4DFFBD43B88B8DBCCC54_13</vt:lpwstr>
  </property>
</Properties>
</file>